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W w:w="8336"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1016"/>
        <w:gridCol w:w="5062"/>
        <w:gridCol w:w="715"/>
        <w:gridCol w:w="154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83" w:hRule="atLeast"/>
          <w:tblHeader/>
        </w:trPr>
        <w:tc>
          <w:tcPr>
            <w:tcW w:w="8336" w:type="dxa"/>
            <w:gridSpan w:val="4"/>
            <w:shd w:val="clear" w:color="auto" w:fill="auto"/>
            <w:vAlign w:val="center"/>
          </w:tcPr>
          <w:p>
            <w:pPr>
              <w:keepNext w:val="0"/>
              <w:keepLines w:val="0"/>
              <w:widowControl/>
              <w:suppressLineNumbers w:val="0"/>
              <w:jc w:val="center"/>
              <w:textAlignment w:val="center"/>
              <w:rPr>
                <w:rFonts w:ascii="仿宋_GB2312" w:hAnsi="宋体" w:eastAsia="仿宋_GB2312" w:cs="仿宋_GB2312"/>
                <w:b/>
                <w:i w:val="0"/>
                <w:color w:val="auto"/>
                <w:sz w:val="24"/>
                <w:szCs w:val="24"/>
                <w:u w:val="none"/>
              </w:rPr>
            </w:pPr>
            <w:r>
              <w:rPr>
                <w:rFonts w:hint="eastAsia" w:ascii="仿宋_GB2312" w:hAnsi="宋体" w:eastAsia="仿宋_GB2312" w:cs="仿宋_GB2312"/>
                <w:b/>
                <w:i w:val="0"/>
                <w:color w:val="auto"/>
                <w:kern w:val="0"/>
                <w:sz w:val="24"/>
                <w:szCs w:val="24"/>
                <w:u w:val="none"/>
                <w:lang w:val="en-US" w:eastAsia="zh-CN" w:bidi="ar"/>
              </w:rPr>
              <w:t>五标工程量清单表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3" w:hRule="atLeast"/>
          <w:tblHeader/>
        </w:trPr>
        <w:tc>
          <w:tcPr>
            <w:tcW w:w="1016" w:type="dxa"/>
            <w:shd w:val="clear" w:color="auto" w:fill="auto"/>
            <w:vAlign w:val="center"/>
          </w:tcPr>
          <w:p>
            <w:pPr>
              <w:jc w:val="center"/>
              <w:rPr>
                <w:rFonts w:hint="eastAsia" w:ascii="仿宋_GB2312" w:hAnsi="宋体" w:eastAsia="仿宋_GB2312" w:cs="仿宋_GB2312"/>
                <w:b/>
                <w:i w:val="0"/>
                <w:color w:val="auto"/>
                <w:sz w:val="18"/>
                <w:szCs w:val="18"/>
                <w:u w:val="none"/>
              </w:rPr>
            </w:pPr>
          </w:p>
        </w:tc>
        <w:tc>
          <w:tcPr>
            <w:tcW w:w="5062" w:type="dxa"/>
            <w:shd w:val="clear" w:color="auto" w:fill="auto"/>
            <w:vAlign w:val="center"/>
          </w:tcPr>
          <w:p>
            <w:pPr>
              <w:jc w:val="center"/>
              <w:rPr>
                <w:rFonts w:hint="eastAsia" w:ascii="仿宋_GB2312" w:hAnsi="宋体" w:eastAsia="仿宋_GB2312" w:cs="仿宋_GB2312"/>
                <w:b/>
                <w:i w:val="0"/>
                <w:color w:val="auto"/>
                <w:sz w:val="18"/>
                <w:szCs w:val="18"/>
                <w:u w:val="none"/>
              </w:rPr>
            </w:pPr>
          </w:p>
        </w:tc>
        <w:tc>
          <w:tcPr>
            <w:tcW w:w="715" w:type="dxa"/>
            <w:shd w:val="clear" w:color="auto" w:fill="auto"/>
            <w:vAlign w:val="center"/>
          </w:tcPr>
          <w:p>
            <w:pPr>
              <w:jc w:val="center"/>
              <w:rPr>
                <w:rFonts w:hint="eastAsia" w:ascii="仿宋_GB2312" w:hAnsi="宋体" w:eastAsia="仿宋_GB2312" w:cs="仿宋_GB2312"/>
                <w:b/>
                <w:i w:val="0"/>
                <w:color w:val="auto"/>
                <w:sz w:val="18"/>
                <w:szCs w:val="18"/>
                <w:u w:val="none"/>
              </w:rPr>
            </w:pPr>
          </w:p>
        </w:tc>
        <w:tc>
          <w:tcPr>
            <w:tcW w:w="1543" w:type="dxa"/>
            <w:shd w:val="clear" w:color="auto" w:fill="auto"/>
            <w:vAlign w:val="center"/>
          </w:tcPr>
          <w:p>
            <w:pPr>
              <w:jc w:val="center"/>
              <w:rPr>
                <w:rFonts w:hint="eastAsia" w:ascii="仿宋_GB2312" w:hAnsi="宋体" w:eastAsia="仿宋_GB2312" w:cs="仿宋_GB2312"/>
                <w:b/>
                <w:i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3" w:hRule="atLeast"/>
          <w:tblHeader/>
        </w:trPr>
        <w:tc>
          <w:tcPr>
            <w:tcW w:w="833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2016年巴彦淖尔市杭锦后旗蛮会镇红丰村和民富村高标准基本农田整治项目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3" w:hRule="atLeast"/>
          <w:tblHeader/>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序号</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单项名称</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单位</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工程量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一</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土地平整工程</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m</w:t>
            </w:r>
            <w:r>
              <w:rPr>
                <w:rStyle w:val="59"/>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 xml:space="preserve">31133.79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（一）</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田块平整工程</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m</w:t>
            </w:r>
            <w:r>
              <w:rPr>
                <w:rStyle w:val="59"/>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 xml:space="preserve">10000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1.1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74KW推土机平整场区 7</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60"/>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3940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1.2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74KW推土机平整场区 8</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60"/>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6060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（二）</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田间积土和废弃渠沟路工程</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m</w:t>
            </w:r>
            <w:r>
              <w:rPr>
                <w:rStyle w:val="59"/>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 xml:space="preserve">21133.79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2.1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田块10 积土清运(1.5～2.0km)</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60"/>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1763.30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2.2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田块12 积土清运(0.5～1.0km)</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60"/>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2369.40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2.3</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田块14 积土清运(0.5～1.0km)</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60"/>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1406.90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2.4</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田块10 废弃毛渠清运(1.5～2.0km)</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60"/>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3183.24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2.5</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田块12 废弃毛渠清运(0.5～1.0km)</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60"/>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627.30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2.6</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田块13 废弃毛渠清运(0.5～1.0km)</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60"/>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1202.94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2.7</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田块14 废弃毛渠清运(0.5～1.0km)</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60"/>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3177.09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2.8</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田块15 废弃毛渠清运(0.5～1.0km)</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60"/>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3102.06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2.9</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田块10 废弃生产路(1.5～2.0km)</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60"/>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1288.36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2.10 </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田块12 废弃生产路(0.5～1.0km)</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60"/>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122.76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2.11 </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田块13 废弃生产路(0.5～1.0km)</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60"/>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127.72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2.12 </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田块14 废弃生产路(0.5～1.0km)</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60"/>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1064.54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2.13 </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田块15 废弃生产路(0.5～1.0km)</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60"/>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1698.18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二</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灌溉与排水工程</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宋体" w:eastAsia="仿宋_GB2312" w:cs="仿宋_GB2312"/>
                <w:b/>
                <w:i w:val="0"/>
                <w:color w:val="auto"/>
                <w:sz w:val="18"/>
                <w:szCs w:val="18"/>
                <w:u w:val="none"/>
              </w:rPr>
            </w:pP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仿宋_GB2312" w:hAnsi="宋体" w:eastAsia="仿宋_GB2312" w:cs="仿宋_GB2312"/>
                <w:b/>
                <w:i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小园子农渠</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宋体" w:eastAsia="仿宋_GB2312" w:cs="仿宋_GB2312"/>
                <w:b/>
                <w:i w:val="0"/>
                <w:color w:val="auto"/>
                <w:sz w:val="18"/>
                <w:szCs w:val="18"/>
                <w:u w:val="none"/>
              </w:rPr>
            </w:pP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仿宋_GB2312" w:hAnsi="宋体" w:eastAsia="仿宋_GB2312" w:cs="仿宋_GB2312"/>
                <w:b/>
                <w:i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1.1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现状衬砌渠道建筑物拆除后维修预制板</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m</w:t>
            </w:r>
            <w:r>
              <w:rPr>
                <w:rStyle w:val="59"/>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 xml:space="preserve">5.76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1.2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旧建筑物拆除工程</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座</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 xml:space="preserve">12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1.2.1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进水闸、节制闸钢砼结构拆除及弃渣（9座）</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60"/>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13.50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1.2.2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桥涵钢砼和砌石结构拆除及弃渣（3座）</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60"/>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1.50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1.3</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新开毛渠（9条）</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m</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 xml:space="preserve">2690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1.3.1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土方开挖（渠道）</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60"/>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135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1.3.2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土方回填（渠道）</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60"/>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2825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1.4</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进水闸 0.4×0.8</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座</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 xml:space="preserve">10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1.4.1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土方开挖(建筑物)</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60"/>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70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1.4.2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土方回填(建筑物)</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60"/>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40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1.4.3</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砂砾料垫层</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60"/>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21.40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1.4.4</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C25钢筋砼铺盖</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60"/>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3.20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1.4.5</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C25钢筋砼翼墙</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60"/>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2.20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1.4.6</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C25钢筋砼一字板</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60"/>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6.60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1.4.7</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C25砼护坡</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60"/>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6.30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1.4.8</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C25砼护底</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60"/>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1.30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1.4.9</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Φ6@100钢筋网片</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60"/>
                <w:rFonts w:hAnsi="宋体"/>
                <w:color w:val="auto"/>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50.00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1.4.10</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四油三毡</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60"/>
                <w:rFonts w:hAnsi="宋体"/>
                <w:color w:val="auto"/>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20.00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1.4.11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高压聚乙烯闭孔泡沫板(2cm)</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60"/>
                <w:rFonts w:hAnsi="宋体"/>
                <w:color w:val="auto"/>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44.00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1.4.12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钢筋制安</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t</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0.95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1.4.13</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闸门、启闭机及排架安装（0.4×0.8）</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套</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10.00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1.5</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节制闸 0.8×0.8</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座</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 xml:space="preserve">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1.5.1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土方开挖(建筑物)</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60"/>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24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1.5.2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土方回填(建筑物)</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60"/>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20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1.5.3</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砂砾料垫层</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60"/>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4.40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1.5.4</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C10砼垫层</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60"/>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2.20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1.5.5</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C25砼护坡</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60"/>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6.60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1.5.6</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C25砼护底</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60"/>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1.5.7</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C25钢筋砼一字板</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60"/>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3.50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1.5.8</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Φ6@100钢筋网片</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60"/>
                <w:rFonts w:hAnsi="宋体"/>
                <w:color w:val="auto"/>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40.00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1.5.9</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四油三毡</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60"/>
                <w:rFonts w:hAnsi="宋体"/>
                <w:color w:val="auto"/>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2.00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1.5.10</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高压聚乙烯闭孔泡沫板(2cm)</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60"/>
                <w:rFonts w:hAnsi="宋体"/>
                <w:color w:val="auto"/>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2.00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1.5.11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钢筋制安</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t</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0.346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1.5.12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闸门、启闭机及排架安装（0.8×0.8）</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套</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2.00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1.6</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涵管桥 Φ100×6</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座</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 xml:space="preserve">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1.6.1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土方开挖(建筑物)</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60"/>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40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1.6.2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土方回填(建筑物)</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60"/>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20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1.6.3</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砂砾料垫层</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60"/>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5.12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1.6.4</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C25钢筋网砼涵管基础</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60"/>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7.72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1.6.5</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C25砼护坡</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60"/>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2.00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1.6.6</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C25砼护底</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60"/>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0.80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1.6.7</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C25钢筋砼挡土板</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60"/>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5.58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1.6.8</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购置、安装混凝土管Φ100-Ⅱ</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12.00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1.6.9</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高压聚乙烯闭孔泡沫板(2cm)</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60"/>
                <w:rFonts w:hAnsi="宋体"/>
                <w:color w:val="auto"/>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4.60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1.6.10</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0.3mm厚聚乙烯膜</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60"/>
                <w:rFonts w:hAnsi="宋体"/>
                <w:color w:val="auto"/>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4.00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1.6.11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四油三毡</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60"/>
                <w:rFonts w:hAnsi="宋体"/>
                <w:color w:val="auto"/>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2.00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1.6.12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C10砼垫层</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60"/>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2.56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1.6.13</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钢筋制安</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t</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0.56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1.7</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涵管桥 Φ60×4</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座</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 xml:space="preserve">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1.7.1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土方开挖(建筑物)</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60"/>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1.7.2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土方回填(建筑物)</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60"/>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50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1.7.3</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砂砾料垫层</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60"/>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7.50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1.7.4</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C25钢筋网砼涵管基础</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60"/>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7.65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1.7.5</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C25砼护坡</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60"/>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5.00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1.7.6</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C25砼护底</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60"/>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2.00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1.7.7</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C25钢筋砼挡土板</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60"/>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11.70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1.7.8</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购置、安装混凝土管Φ60-Ⅱ</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20.00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1.7.9</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高压聚乙烯闭孔泡沫板(2cm)</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60"/>
                <w:rFonts w:hAnsi="宋体"/>
                <w:color w:val="auto"/>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11.50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1.7.10</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0.3mm厚聚乙烯膜</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60"/>
                <w:rFonts w:hAnsi="宋体"/>
                <w:color w:val="auto"/>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7.50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1.7.11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四油三毡</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60"/>
                <w:rFonts w:hAnsi="宋体"/>
                <w:color w:val="auto"/>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5.00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1.7.12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C10砼垫层</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60"/>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3.75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1.7.13</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钢筋制安</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t</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1.55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 xml:space="preserve">2 </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马继梁农渠</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宋体" w:eastAsia="仿宋_GB2312" w:cs="仿宋_GB2312"/>
                <w:b/>
                <w:i w:val="0"/>
                <w:color w:val="auto"/>
                <w:sz w:val="18"/>
                <w:szCs w:val="18"/>
                <w:u w:val="none"/>
              </w:rPr>
            </w:pP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仿宋_GB2312" w:hAnsi="宋体" w:eastAsia="仿宋_GB2312" w:cs="仿宋_GB2312"/>
                <w:b/>
                <w:i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2.1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衬砌工程</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m</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 xml:space="preserve">1240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2.1.1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土方开挖（渠道）</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60"/>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283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2.1.2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土方回填（渠道）</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60"/>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1135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2.1.4</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6cm厚C25砼方板预制、运输、安装</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60"/>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63.24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2.1.5</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6cm厚C25砼弧板预制、运输、安装</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60"/>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89.28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2.1.6</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6cm厚C25砼封顶板预制、运输、安装</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60"/>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89.28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2.1.7</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3cm厚M10砂浆垫层</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60"/>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127.72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2.1.8</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0.3mm厚聚乙烯膜</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60"/>
                <w:rFonts w:hAnsi="宋体"/>
                <w:color w:val="auto"/>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4216.00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2.1.9</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沥青砂浆伸缩缝(90mm×25mm)</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643.56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2.1.10</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5cm保温板(20kg/m</w:t>
            </w:r>
            <w:r>
              <w:rPr>
                <w:rStyle w:val="60"/>
                <w:rFonts w:hAnsi="宋体"/>
                <w:color w:val="auto"/>
                <w:lang w:val="en-US" w:eastAsia="zh-CN" w:bidi="ar"/>
              </w:rPr>
              <w:t>3</w:t>
            </w:r>
            <w:r>
              <w:rPr>
                <w:rStyle w:val="61"/>
                <w:rFonts w:hAnsi="宋体"/>
                <w:color w:val="auto"/>
                <w:lang w:val="en-US" w:eastAsia="zh-CN" w:bidi="ar"/>
              </w:rPr>
              <w:t>)</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60"/>
                <w:rFonts w:hAnsi="宋体"/>
                <w:color w:val="auto"/>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4216.00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2.1.11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挖树根及外运</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棵</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369.00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2.2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旧建筑物拆除工程</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座</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 xml:space="preserve">11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2.2.1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进水闸、节制闸钢砼结构拆除及弃渣（7座）</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60"/>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10.50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2.2.2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桥涵钢砼和砌石结构拆除及弃渣（4座）</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60"/>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2.00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2.3</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新开毛渠（13条）</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m</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 xml:space="preserve">2447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2.3.1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土方开挖（渠道）</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60"/>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122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2.3.2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土方回填（渠道）</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60"/>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2569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2.3.3</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外运土(1.5～2.0km)</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60"/>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2447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2.4</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进水闸 0.8×1.0 L=6m</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座</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 xml:space="preserve">1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2.4.1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土方开挖(建筑物)</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60"/>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40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2.4.2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土方回填(建筑物)</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60"/>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25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2.4.3</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砂砾料垫层</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60"/>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5.53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2.4.4</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C10砼垫层</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60"/>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3.32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2.4.5</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C25钢筋砼一字板</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60"/>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1.42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2.4.6</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C25钢筋砼闸墩</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60"/>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1.61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2.4.7</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C25钢筋砼铺盖</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60"/>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1.52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2.4.8</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C25钢筋砼翼墙</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60"/>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0.93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2.4.9</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C25钢筋砼箱涵</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60"/>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6.28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2.4.10</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C25砼护坡</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60"/>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1.27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2.4.11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C25砼护底</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60"/>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0.50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2.4.12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Φ6@100钢筋网片</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60"/>
                <w:rFonts w:hAnsi="宋体"/>
                <w:color w:val="auto"/>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12.00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2.4.13</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0.3mm厚聚乙烯膜</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60"/>
                <w:rFonts w:hAnsi="宋体"/>
                <w:color w:val="auto"/>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6.00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2.4.14</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四油三毡</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60"/>
                <w:rFonts w:hAnsi="宋体"/>
                <w:color w:val="auto"/>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3.00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2.4.15</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钢筋制安</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t</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0.67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2.4.16</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高压聚乙烯闭孔泡沫板(2cm)</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60"/>
                <w:rFonts w:hAnsi="宋体"/>
                <w:color w:val="auto"/>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2.00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2.4.17</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闸门、启闭机安装（0.8×1.0）</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套</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2.5</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进水闸 0.4×0.8</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座</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 xml:space="preserve">13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2.5.1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土方开挖(建筑物)</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60"/>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91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2.5.2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土方回填(建筑物)</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60"/>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52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2.5.3</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砂砾料垫层</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60"/>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27.82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2.5.4</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C25钢筋砼铺盖</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60"/>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4.16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2.5.5</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C25钢筋砼翼墙</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60"/>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2.86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2.5.6</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C25钢筋砼一字板</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60"/>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8.58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2.5.7</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C25砼护坡</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60"/>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8.19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2.5.8</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C25砼护底</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60"/>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1.69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2.5.9</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Φ6@100钢筋网片</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60"/>
                <w:rFonts w:hAnsi="宋体"/>
                <w:color w:val="auto"/>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65.00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2.5.10</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四油三毡</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60"/>
                <w:rFonts w:hAnsi="宋体"/>
                <w:color w:val="auto"/>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26.00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2.5.11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高压聚乙烯闭孔泡沫板(2cm)</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60"/>
                <w:rFonts w:hAnsi="宋体"/>
                <w:color w:val="auto"/>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57.20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2.5.12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钢筋制安</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t</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1.24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2.5.13</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闸门、启闭机及排架安装（0.4×0.8）</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套</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13.00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2.6</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节制闸 0.8×0.8</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座</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 xml:space="preserve">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2.6.1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土方开挖(建筑物)</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60"/>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24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2.6.2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土方回填(建筑物)</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60"/>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20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2.6.3</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砂砾料垫层</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60"/>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4.40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2.6.4</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C10砼垫层</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60"/>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2.20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2.6.5</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C25砼护坡</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60"/>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6.60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2.6.6</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C25砼护底</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60"/>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2.6.7</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C25钢筋砼一字板</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60"/>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3.50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2.6.8</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Φ6@100钢筋网片</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60"/>
                <w:rFonts w:hAnsi="宋体"/>
                <w:color w:val="auto"/>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40.00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2.6.9</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四油三毡</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60"/>
                <w:rFonts w:hAnsi="宋体"/>
                <w:color w:val="auto"/>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2.00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2.6.10</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高压聚乙烯闭孔泡沫板(2cm)</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60"/>
                <w:rFonts w:hAnsi="宋体"/>
                <w:color w:val="auto"/>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2.00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2.6.11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钢筋制安</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t</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0.346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2.6.12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闸门、启闭机及排架安装（0.8×0.8）</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套</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2.00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2.7</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枕梁桥 3×5</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座</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 xml:space="preserve">1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2.7.1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土方开挖(建筑物)</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60"/>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60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2.7.2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土方回填(建筑物)</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60"/>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40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2.7.3</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砂砾料垫层</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60"/>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5.28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2.7.4</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C20砼挡土墙</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60"/>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8.12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2.7.5</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C20砼基础</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60"/>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7.84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2.7.6</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C25钢筋砼枕梁</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60"/>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3.92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2.7.7</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C30钢筋砼枕梁桥面板</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60"/>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5.46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2.7.8</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C35钢筋砼桥面板铺装层(100mm厚)</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60"/>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1.50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2.7.9</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四油三毡</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60"/>
                <w:rFonts w:hAnsi="宋体"/>
                <w:color w:val="auto"/>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4.56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2.7.10</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钢筋制安</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t</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0.56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2.7.11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钢护栏（含预埋件）</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t</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0.10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2.7.12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土方开挖(限载牌)</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60"/>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2.7.13</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C20混凝土基础（限载牌）</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60"/>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0.40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2.7.14</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铝合金牌（限载牌）</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套</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2.00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2.7.15</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Φ60 钢管（限载牌）</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4.00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2.8</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涵管桥 Φ100×4</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座</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 xml:space="preserve">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2.8.1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土方开挖(建筑物)</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60"/>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40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2.8.2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土方回填(建筑物)</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60"/>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20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2.8.3</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砂砾料垫层</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60"/>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3.82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2.8.4</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C25钢筋网砼涵管基础</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60"/>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5.14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2.8.5</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C25砼护坡</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60"/>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2.00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2.8.6</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C25砼护底</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60"/>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0.80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2.8.7</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C25钢筋砼挡土板</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60"/>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5.58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2.8.8</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购置、安装混凝土管Φ100-Ⅱ</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8.00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2.8.9</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高压聚乙烯闭孔泡沫板(2cm)</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60"/>
                <w:rFonts w:hAnsi="宋体"/>
                <w:color w:val="auto"/>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4.60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2.8.10</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0.3mm厚聚乙烯膜</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60"/>
                <w:rFonts w:hAnsi="宋体"/>
                <w:color w:val="auto"/>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3.00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2.8.11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四油三毡</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60"/>
                <w:rFonts w:hAnsi="宋体"/>
                <w:color w:val="auto"/>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2.00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2.8.12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C10砼垫层</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60"/>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1.92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2.8.13</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钢筋制安</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t</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0.56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2.9</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涵管桥 Φ60×4</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座</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 xml:space="preserve">7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2.9.1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土方开挖(建筑物)</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60"/>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140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2.9.2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土方回填(建筑物)</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60"/>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70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2.9.3</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砂砾料垫层</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60"/>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10.50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2.9.4</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C25钢筋网砼涵管基础</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60"/>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10.71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2.9.5</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C25砼护坡</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60"/>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7.00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2.9.6</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C25砼护底</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60"/>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2.80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2.9.7</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C25钢筋砼挡土板</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60"/>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16.38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2.9.8</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购置、安装混凝土管Φ60-Ⅱ</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28.00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2.9.9</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高压聚乙烯闭孔泡沫板(2cm)</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60"/>
                <w:rFonts w:hAnsi="宋体"/>
                <w:color w:val="auto"/>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16.10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2.9.10</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0.3mm厚聚乙烯膜</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60"/>
                <w:rFonts w:hAnsi="宋体"/>
                <w:color w:val="auto"/>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10.50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2.9.11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四油三毡</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60"/>
                <w:rFonts w:hAnsi="宋体"/>
                <w:color w:val="auto"/>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7.00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2.9.12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C10砼垫层</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60"/>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5.25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2.9.13</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钢筋制安</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t</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2.17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 xml:space="preserve">3 </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四六农渠</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宋体" w:eastAsia="仿宋_GB2312" w:cs="仿宋_GB2312"/>
                <w:b/>
                <w:i w:val="0"/>
                <w:color w:val="auto"/>
                <w:sz w:val="18"/>
                <w:szCs w:val="18"/>
                <w:u w:val="none"/>
              </w:rPr>
            </w:pP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仿宋_GB2312" w:hAnsi="宋体" w:eastAsia="仿宋_GB2312" w:cs="仿宋_GB2312"/>
                <w:b/>
                <w:i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3.1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衬砌工程</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m</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 xml:space="preserve">1045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3.1.1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土方开挖（渠道）</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60"/>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794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3.1.2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土方回填（渠道）</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60"/>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768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3.1.3</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弃土(0.5～1.0km)</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60"/>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26.00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3.1.4</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6cm厚C25砼方板预制、运输、安装</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60"/>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72.51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3.1.5</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6cm厚C25砼弧板预制、运输、安装</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60"/>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71.78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3.1.6</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6cm厚C25砼封顶板预制、运输、安装</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60"/>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75.24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3.1.7</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3cm厚M10砂浆垫层</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60"/>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116.04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3.1.8</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0.3mm厚聚乙烯膜</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60"/>
                <w:rFonts w:hAnsi="宋体"/>
                <w:color w:val="auto"/>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3893.00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3.1.9</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沥青砂浆伸缩缝(90mm×25mm)</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585.66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3.1.10</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5cm保温板(20kg/m</w:t>
            </w:r>
            <w:r>
              <w:rPr>
                <w:rStyle w:val="60"/>
                <w:rFonts w:hAnsi="宋体"/>
                <w:color w:val="auto"/>
                <w:lang w:val="en-US" w:eastAsia="zh-CN" w:bidi="ar"/>
              </w:rPr>
              <w:t>3</w:t>
            </w:r>
            <w:r>
              <w:rPr>
                <w:rStyle w:val="61"/>
                <w:rFonts w:hAnsi="宋体"/>
                <w:color w:val="auto"/>
                <w:lang w:val="en-US" w:eastAsia="zh-CN" w:bidi="ar"/>
              </w:rPr>
              <w:t>)</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60"/>
                <w:rFonts w:hAnsi="宋体"/>
                <w:color w:val="auto"/>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3893.00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3.1.11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挖树根及外运</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棵</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263.00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3.2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旧建筑物拆除工程</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座</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 xml:space="preserve">14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3.2.1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进水闸、节制闸钢砼结构拆除及弃渣（8座）</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60"/>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12.00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3.2.2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桥涵钢砼和砌石结构拆除及弃渣（6座）</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60"/>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3.00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3.3</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新开毛渠（13条）</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m</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 xml:space="preserve">3875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3.3.1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土方开挖（渠道）</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60"/>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194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3.3.2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土方回填（渠道）</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60"/>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4069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3.4</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进水闸 0.4×0.8</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座</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 xml:space="preserve">13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3.4.1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土方开挖(建筑物)</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60"/>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91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3.4.2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土方回填(建筑物)</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60"/>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52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3.4.3</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砂砾料垫层</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60"/>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27.82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3.4.4</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C25钢筋砼铺盖</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60"/>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4.16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3.4.5</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C25钢筋砼翼墙</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60"/>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2.86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3.4.6</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C25钢筋砼一字板</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60"/>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8.58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3.4.7</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C25砼护坡</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60"/>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8.19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3.4.8</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C25砼护底</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60"/>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1.69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3.4.9</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Φ6@100钢筋网片</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60"/>
                <w:rFonts w:hAnsi="宋体"/>
                <w:color w:val="auto"/>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65.00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3.4.10</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四油三毡</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60"/>
                <w:rFonts w:hAnsi="宋体"/>
                <w:color w:val="auto"/>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26.00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3.4.11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高压聚乙烯闭孔泡沫板(2cm)</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60"/>
                <w:rFonts w:hAnsi="宋体"/>
                <w:color w:val="auto"/>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57.20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3.4.12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钢筋制安</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t</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1.24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3.4.13</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闸门、启闭机及排架安装（0.4×0.8）</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套</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13.00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3.5</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节制闸 1.0×0.8</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座</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 xml:space="preserve">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3.5.1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土方开挖(建筑物)</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60"/>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24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3.5.2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土方回填(建筑物)</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60"/>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20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3.5.3</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砂砾料垫层</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60"/>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4.40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3.5.4</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C10砼垫层</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60"/>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2.20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3.5.5</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C25砼护坡</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60"/>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6.00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3.5.6</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C25砼护底</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60"/>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3.5.7</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C25钢筋砼一字板</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60"/>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3.50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3.5.8</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Φ6@100钢筋网片</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60"/>
                <w:rFonts w:hAnsi="宋体"/>
                <w:color w:val="auto"/>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40.00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3.5.9</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四油三毡</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60"/>
                <w:rFonts w:hAnsi="宋体"/>
                <w:color w:val="auto"/>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2.00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3.5.10</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高压聚乙烯闭孔泡沫板(2cm)</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60"/>
                <w:rFonts w:hAnsi="宋体"/>
                <w:color w:val="auto"/>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2.00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3.5.11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钢筋制安</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t</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0.36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3.5.12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闸门、启闭机及钢排架安装（1.0×0.8）</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套</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2.00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3.6</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涵管桥 Φ80×6</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座</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 xml:space="preserve">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3.6.1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土方开挖(建筑物)</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60"/>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40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3.6.2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土方回填(建筑物)</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60"/>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20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3.6.3</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砂砾料垫层</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60"/>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5.12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3.6.4</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C25钢筋网砼涵管基础</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60"/>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7.72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3.6.5</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C25砼护坡</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60"/>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2.00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3.6.6</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C25砼护底</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60"/>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0.80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3.6.7</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C25钢筋砼挡土板</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60"/>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5.58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3.6.8</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购置、安装混凝土管Φ80-Ⅱ</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12.00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3.6.9</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高压聚乙烯闭孔泡沫板(2cm)</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60"/>
                <w:rFonts w:hAnsi="宋体"/>
                <w:color w:val="auto"/>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4.60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3.6.10</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0.3mm厚聚乙烯膜</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60"/>
                <w:rFonts w:hAnsi="宋体"/>
                <w:color w:val="auto"/>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4.00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3.6.11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四油三毡</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60"/>
                <w:rFonts w:hAnsi="宋体"/>
                <w:color w:val="auto"/>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2.00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3.6.12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C10砼垫层</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60"/>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2.56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3.6.13</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钢筋制安</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t</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0.60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3.7</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涵管桥 Φ60×4</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座</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 xml:space="preserve">6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3.7.1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土方开挖(建筑物)</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60"/>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120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3.7.2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土方回填(建筑物)</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60"/>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60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3.7.3</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砂砾料垫层</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60"/>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9.00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3.7.4</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C25钢筋网砼涵管基础</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60"/>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9.18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3.7.5</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C25砼护坡</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60"/>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6.00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3.7.6</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C25砼护底</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60"/>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2.40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3.7.7</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C25钢筋砼挡土板</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60"/>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14.04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3.7.8</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购置、安装混凝土管Φ60-Ⅱ</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24.00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3.7.9</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高压聚乙烯闭孔泡沫板(2cm)</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60"/>
                <w:rFonts w:hAnsi="宋体"/>
                <w:color w:val="auto"/>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13.80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3.7.10</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0.3mm厚聚乙烯膜</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60"/>
                <w:rFonts w:hAnsi="宋体"/>
                <w:color w:val="auto"/>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9.00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3.7.11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四油三毡</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60"/>
                <w:rFonts w:hAnsi="宋体"/>
                <w:color w:val="auto"/>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6.00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3.7.12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C10砼垫层</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60"/>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4.50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3.7.13</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钢筋制安</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t</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1.86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 xml:space="preserve">4 </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张雪农渠</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宋体" w:eastAsia="仿宋_GB2312" w:cs="仿宋_GB2312"/>
                <w:b/>
                <w:i w:val="0"/>
                <w:color w:val="auto"/>
                <w:sz w:val="18"/>
                <w:szCs w:val="18"/>
                <w:u w:val="none"/>
              </w:rPr>
            </w:pP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仿宋_GB2312" w:hAnsi="宋体" w:eastAsia="仿宋_GB2312" w:cs="仿宋_GB2312"/>
                <w:b/>
                <w:i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4.1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衬砌工程</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m</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 xml:space="preserve">797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4.1.1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土方开挖（渠道）</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60"/>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926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4.1.2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土方回填（渠道）</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60"/>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344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4.1.3</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弃土(0.5～1.0km)</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60"/>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582.00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4.1.4</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6cm厚C25砼方板预制、运输、安装</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60"/>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40.65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4.1.5</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6cm厚C25砼弧板预制、运输、安装</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60"/>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57.38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4.1.6</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6cm厚C25砼封顶板预制、运输、安装</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60"/>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57.38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4.1.7</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3cm厚M10砂浆垫层</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60"/>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82.09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4.1.8</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0.3mm厚聚乙烯膜</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60"/>
                <w:rFonts w:hAnsi="宋体"/>
                <w:color w:val="auto"/>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2710.00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4.1.9</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沥青砂浆伸缩缝(90mm×25mm)</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413.64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4.1.10</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5cm保温板(20kg/m</w:t>
            </w:r>
            <w:r>
              <w:rPr>
                <w:rStyle w:val="60"/>
                <w:rFonts w:hAnsi="宋体"/>
                <w:color w:val="auto"/>
                <w:lang w:val="en-US" w:eastAsia="zh-CN" w:bidi="ar"/>
              </w:rPr>
              <w:t>3</w:t>
            </w:r>
            <w:r>
              <w:rPr>
                <w:rStyle w:val="61"/>
                <w:rFonts w:hAnsi="宋体"/>
                <w:color w:val="auto"/>
                <w:lang w:val="en-US" w:eastAsia="zh-CN" w:bidi="ar"/>
              </w:rPr>
              <w:t>)</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60"/>
                <w:rFonts w:hAnsi="宋体"/>
                <w:color w:val="auto"/>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2710.00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4.1.11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挖树根及外运</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棵</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268.00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4.2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旧建筑物拆除工程</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座</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 xml:space="preserve">13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4.2.1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进水闸、节制闸钢砼结构拆除及弃渣（10座）</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60"/>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15.00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4.2.2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桥涵钢砼和砌石结构拆除及弃渣（3座）</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60"/>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1.50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4.3</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新开毛渠（11条）</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m</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 xml:space="preserve">3327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4.3.1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土方开挖（渠道）</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60"/>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166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4.3.2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土方回填（渠道）</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60"/>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3493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4.4</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进水闸 0.4×0.8</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座</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 xml:space="preserve">11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4.4.1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土方开挖(建筑物)</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60"/>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77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4.4.2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土方回填(建筑物)</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60"/>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44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4.4.3</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砂砾料垫层</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60"/>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23.54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4.4.4</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C25钢筋砼铺盖</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60"/>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3.52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4.4.5</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C25钢筋砼翼墙</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60"/>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2.42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4.4.6</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C25钢筋砼一字板</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60"/>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7.26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4.4.7</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C25砼护坡</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60"/>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6.93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4.4.8</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C25砼护底</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60"/>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1.43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4.4.9</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Φ6@100钢筋网片</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60"/>
                <w:rFonts w:hAnsi="宋体"/>
                <w:color w:val="auto"/>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55.00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4.4.10</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四油三毡</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60"/>
                <w:rFonts w:hAnsi="宋体"/>
                <w:color w:val="auto"/>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22.00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4.4.11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高压聚乙烯闭孔泡沫板(2cm)</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60"/>
                <w:rFonts w:hAnsi="宋体"/>
                <w:color w:val="auto"/>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48.40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4.4.12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钢筋制安</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t</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1.05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4.4.13</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闸门、启闭机及排架安装（0.4×0.8）</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套</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11.00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4.5</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节制闸 0.8×0.8</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座</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 xml:space="preserve">1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4.5.1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土方开挖(建筑物)</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60"/>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12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4.5.2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土方回填(建筑物)</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60"/>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10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4.5.3</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砂砾料垫层</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60"/>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2.20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4.5.4</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C10砼垫层</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60"/>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1.10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4.5.5</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C25砼护坡</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60"/>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3.30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4.5.6</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C25砼护底</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60"/>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0.50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4.5.7</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C25钢筋砼一字板</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60"/>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1.75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4.5.8</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Φ6@100钢筋网片</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60"/>
                <w:rFonts w:hAnsi="宋体"/>
                <w:color w:val="auto"/>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20.00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4.5.9</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四油三毡</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60"/>
                <w:rFonts w:hAnsi="宋体"/>
                <w:color w:val="auto"/>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4.5.10</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高压聚乙烯闭孔泡沫板(2cm)</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60"/>
                <w:rFonts w:hAnsi="宋体"/>
                <w:color w:val="auto"/>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4.5.11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钢筋制安</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t</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0.173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4.5.12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闸门、启闭机及排架安装（0.8×0.8）</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套</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4.6</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涵管桥 Φ80×4</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座</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 xml:space="preserve">1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4.6.1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土方开挖(建筑物)</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60"/>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20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4.6.2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土方回填(建筑物)</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60"/>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10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4.6.3</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砂砾料垫层</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60"/>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2.56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4.6.4</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C25钢筋网砼涵管基础</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60"/>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3.86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4.6.5</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C25砼护坡</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60"/>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4.6.6</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C25砼护底</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60"/>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0.40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4.6.7</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C25钢筋砼挡土板</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60"/>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2.79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4.6.8</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购置、安装混凝土管Φ80-Ⅱ</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4.00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4.6.9</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高压聚乙烯闭孔泡沫板(2cm)</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60"/>
                <w:rFonts w:hAnsi="宋体"/>
                <w:color w:val="auto"/>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2.30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4.6.10</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0.3mm厚聚乙烯膜</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60"/>
                <w:rFonts w:hAnsi="宋体"/>
                <w:color w:val="auto"/>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1.50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4.6.11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四油三毡</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60"/>
                <w:rFonts w:hAnsi="宋体"/>
                <w:color w:val="auto"/>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4.6.12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C10砼垫层</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60"/>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0.96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4.6.13</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钢筋制安</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t</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0.30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4.7</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涵管桥 Φ60×4</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座</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 xml:space="preserve">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4.7.1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土方开挖(建筑物)</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60"/>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4.7.2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土方回填(建筑物)</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60"/>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50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4.7.3</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砂砾料垫层</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60"/>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7.50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4.7.4</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C25钢筋网砼涵管基础</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60"/>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7.65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4.7.5</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C25砼护坡</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60"/>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5.00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4.7.6</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C25砼护底</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60"/>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2.00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4.7.7</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C25钢筋砼挡土板</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60"/>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11.70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4.7.8</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购置、安装混凝土管Φ60-Ⅱ</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20.00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4.7.9</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高压聚乙烯闭孔泡沫板(2cm)</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60"/>
                <w:rFonts w:hAnsi="宋体"/>
                <w:color w:val="auto"/>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11.50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4.7.10</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0.3mm厚聚乙烯膜</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60"/>
                <w:rFonts w:hAnsi="宋体"/>
                <w:color w:val="auto"/>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7.50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4.7.11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四油三毡</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60"/>
                <w:rFonts w:hAnsi="宋体"/>
                <w:color w:val="auto"/>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5.00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4.7.12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C10砼垫层</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60"/>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3.75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4.7.13</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钢筋制安</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t</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1.55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三</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田间道路工程</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m</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 xml:space="preserve">15957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一至六社田间道（铺砂—路面宽6m）</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m</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 xml:space="preserve">1296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1.2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素土路面（50cm厚）</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60"/>
                <w:rFonts w:hAnsi="宋体"/>
                <w:color w:val="auto"/>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7776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1.3</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砂砾石路面（5cm）</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60"/>
                <w:rFonts w:hAnsi="宋体"/>
                <w:color w:val="auto"/>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7776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张雪农渠田间道（路面宽4m）</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m</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 xml:space="preserve">796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2.2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素土路面（40cm厚）</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60"/>
                <w:rFonts w:hAnsi="宋体"/>
                <w:color w:val="auto"/>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3184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3</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六社田间道（路面宽4m）</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m</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 xml:space="preserve">883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3.1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路床土料拉运(1.5～2.0km)</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60"/>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1554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3.2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素土路面（40cm厚）</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60"/>
                <w:rFonts w:hAnsi="宋体"/>
                <w:color w:val="auto"/>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3532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4</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四六农渠田间道（路面宽4m）</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m</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 xml:space="preserve">1142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4.1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路床土料拉运(1.5～2.0km)</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60"/>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1253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4.2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素土路面（40cm厚）</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60"/>
                <w:rFonts w:hAnsi="宋体"/>
                <w:color w:val="auto"/>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4568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5</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马继梁田间道（路面宽4m）</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m</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 xml:space="preserve">704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5.2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素土路面（40cm厚）</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60"/>
                <w:rFonts w:hAnsi="宋体"/>
                <w:color w:val="auto"/>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2816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6</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小园子田间道（路面宽4m）</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m</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 xml:space="preserve">496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6.2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素土路面（40cm厚）</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60"/>
                <w:rFonts w:hAnsi="宋体"/>
                <w:color w:val="auto"/>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1984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7</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小园子农渠区域生产路（9条 田块10）</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m</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 xml:space="preserve">2632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7.2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素土路面（20cm厚）</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60"/>
                <w:rFonts w:hAnsi="宋体"/>
                <w:color w:val="auto"/>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5264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8</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马继梁农渠区域生产路（6条 田块12）</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m</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 xml:space="preserve">1294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8.2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素土路面（20cm厚）</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60"/>
                <w:rFonts w:hAnsi="宋体"/>
                <w:color w:val="auto"/>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2588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9</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马继梁农渠区域生产路（5条 田块13）</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m</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 xml:space="preserve">1286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9.1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路床土料拉运(1.5～2.0km)</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60"/>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566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9.2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素土路面（20cm厚）</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60"/>
                <w:rFonts w:hAnsi="宋体"/>
                <w:color w:val="auto"/>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2572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10</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四六农渠区域生产路（9条 田块14）</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m</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 xml:space="preserve">2680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10.2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素土路面（20cm厚）</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60"/>
                <w:rFonts w:hAnsi="宋体"/>
                <w:color w:val="auto"/>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5360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11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张雪农渠区域生产路（9条 田块15）</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m</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 xml:space="preserve">2748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11.2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素土路面（20cm厚）</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60"/>
                <w:rFonts w:hAnsi="宋体"/>
                <w:color w:val="auto"/>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5496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四</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农田防护与生态环境保持工程</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宋体" w:eastAsia="仿宋_GB2312" w:cs="仿宋_GB2312"/>
                <w:b/>
                <w:i w:val="0"/>
                <w:color w:val="auto"/>
                <w:sz w:val="18"/>
                <w:szCs w:val="18"/>
                <w:u w:val="none"/>
              </w:rPr>
            </w:pP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仿宋_GB2312" w:hAnsi="宋体" w:eastAsia="仿宋_GB2312" w:cs="仿宋_GB2312"/>
                <w:b/>
                <w:i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（一）</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植树沟</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m</w:t>
            </w:r>
            <w:r>
              <w:rPr>
                <w:rStyle w:val="59"/>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 xml:space="preserve">2126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民富村植树沟土方量</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60"/>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2126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（二）</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栽植新疆杨（胸径＞3cm）</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株</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 xml:space="preserve">4848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民富村新疆杨</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株</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4848 </w:t>
            </w:r>
          </w:p>
        </w:tc>
      </w:tr>
    </w:tbl>
    <w:p/>
    <w:tbl>
      <w:tblPr>
        <w:tblStyle w:val="7"/>
        <w:tblW w:w="8522" w:type="dxa"/>
        <w:tblInd w:w="0" w:type="dxa"/>
        <w:tblLayout w:type="fixed"/>
        <w:tblCellMar>
          <w:top w:w="0" w:type="dxa"/>
          <w:left w:w="108" w:type="dxa"/>
          <w:bottom w:w="0" w:type="dxa"/>
          <w:right w:w="108" w:type="dxa"/>
        </w:tblCellMar>
      </w:tblPr>
      <w:tblGrid>
        <w:gridCol w:w="671"/>
        <w:gridCol w:w="5212"/>
        <w:gridCol w:w="1297"/>
        <w:gridCol w:w="672"/>
        <w:gridCol w:w="670"/>
      </w:tblGrid>
      <w:tr>
        <w:tblPrEx>
          <w:tblLayout w:type="fixed"/>
          <w:tblCellMar>
            <w:top w:w="0" w:type="dxa"/>
            <w:left w:w="108" w:type="dxa"/>
            <w:bottom w:w="0" w:type="dxa"/>
            <w:right w:w="108" w:type="dxa"/>
          </w:tblCellMar>
        </w:tblPrEx>
        <w:trPr>
          <w:trHeight w:val="300" w:hRule="atLeast"/>
        </w:trPr>
        <w:tc>
          <w:tcPr>
            <w:tcW w:w="8522" w:type="dxa"/>
            <w:gridSpan w:val="5"/>
            <w:tcBorders>
              <w:top w:val="nil"/>
              <w:left w:val="nil"/>
              <w:bottom w:val="nil"/>
              <w:right w:val="nil"/>
            </w:tcBorders>
            <w:shd w:val="clear" w:color="auto" w:fill="auto"/>
            <w:vAlign w:val="center"/>
          </w:tcPr>
          <w:p>
            <w:pPr>
              <w:widowControl/>
              <w:jc w:val="center"/>
              <w:rPr>
                <w:rFonts w:ascii="仿宋_GB2312" w:hAnsi="宋体" w:eastAsia="仿宋_GB2312" w:cs="宋体"/>
                <w:b/>
                <w:bCs/>
                <w:kern w:val="0"/>
                <w:sz w:val="24"/>
                <w:szCs w:val="24"/>
              </w:rPr>
            </w:pPr>
            <w:r>
              <w:br w:type="page"/>
            </w:r>
            <w:r>
              <w:rPr>
                <w:rFonts w:hint="eastAsia" w:ascii="仿宋_GB2312" w:hAnsi="宋体" w:eastAsia="仿宋_GB2312" w:cs="宋体"/>
                <w:b/>
                <w:bCs/>
                <w:kern w:val="0"/>
                <w:sz w:val="24"/>
                <w:szCs w:val="24"/>
              </w:rPr>
              <w:t>设备清单表</w:t>
            </w:r>
          </w:p>
        </w:tc>
      </w:tr>
      <w:tr>
        <w:tblPrEx>
          <w:tblLayout w:type="fixed"/>
          <w:tblCellMar>
            <w:top w:w="0" w:type="dxa"/>
            <w:left w:w="108" w:type="dxa"/>
            <w:bottom w:w="0" w:type="dxa"/>
            <w:right w:w="108" w:type="dxa"/>
          </w:tblCellMar>
        </w:tblPrEx>
        <w:trPr>
          <w:trHeight w:val="300" w:hRule="atLeast"/>
        </w:trPr>
        <w:tc>
          <w:tcPr>
            <w:tcW w:w="5883" w:type="dxa"/>
            <w:gridSpan w:val="2"/>
            <w:tcBorders>
              <w:top w:val="nil"/>
              <w:left w:val="nil"/>
              <w:bottom w:val="single" w:color="auto" w:sz="4" w:space="0"/>
              <w:right w:val="nil"/>
            </w:tcBorders>
            <w:shd w:val="clear" w:color="auto" w:fill="auto"/>
            <w:vAlign w:val="center"/>
          </w:tcPr>
          <w:p>
            <w:pPr>
              <w:widowControl/>
              <w:jc w:val="left"/>
              <w:rPr>
                <w:rFonts w:ascii="仿宋_GB2312" w:hAnsi="宋体" w:eastAsia="仿宋_GB2312" w:cs="宋体"/>
                <w:kern w:val="0"/>
                <w:szCs w:val="21"/>
              </w:rPr>
            </w:pPr>
            <w:r>
              <w:rPr>
                <w:rFonts w:hint="eastAsia" w:ascii="仿宋_GB2312" w:hAnsi="宋体" w:eastAsia="仿宋_GB2312" w:cs="宋体"/>
                <w:kern w:val="0"/>
                <w:szCs w:val="21"/>
              </w:rPr>
              <w:t>　</w:t>
            </w:r>
          </w:p>
        </w:tc>
        <w:tc>
          <w:tcPr>
            <w:tcW w:w="1297" w:type="dxa"/>
            <w:tcBorders>
              <w:top w:val="nil"/>
              <w:left w:val="nil"/>
              <w:bottom w:val="nil"/>
              <w:right w:val="nil"/>
            </w:tcBorders>
            <w:shd w:val="clear" w:color="auto" w:fill="auto"/>
            <w:vAlign w:val="center"/>
          </w:tcPr>
          <w:p>
            <w:pPr>
              <w:widowControl/>
              <w:jc w:val="center"/>
              <w:rPr>
                <w:rFonts w:ascii="仿宋_GB2312" w:hAnsi="宋体" w:eastAsia="仿宋_GB2312" w:cs="宋体"/>
                <w:kern w:val="0"/>
                <w:szCs w:val="21"/>
              </w:rPr>
            </w:pPr>
          </w:p>
        </w:tc>
        <w:tc>
          <w:tcPr>
            <w:tcW w:w="672" w:type="dxa"/>
            <w:tcBorders>
              <w:top w:val="nil"/>
              <w:left w:val="nil"/>
              <w:bottom w:val="nil"/>
              <w:right w:val="nil"/>
            </w:tcBorders>
            <w:shd w:val="clear" w:color="auto" w:fill="auto"/>
            <w:vAlign w:val="center"/>
          </w:tcPr>
          <w:p>
            <w:pPr>
              <w:widowControl/>
              <w:jc w:val="center"/>
              <w:rPr>
                <w:rFonts w:ascii="仿宋_GB2312" w:hAnsi="宋体" w:eastAsia="仿宋_GB2312" w:cs="宋体"/>
                <w:kern w:val="0"/>
                <w:szCs w:val="21"/>
              </w:rPr>
            </w:pPr>
          </w:p>
        </w:tc>
        <w:tc>
          <w:tcPr>
            <w:tcW w:w="670" w:type="dxa"/>
            <w:tcBorders>
              <w:top w:val="nil"/>
              <w:left w:val="nil"/>
              <w:bottom w:val="nil"/>
              <w:right w:val="nil"/>
            </w:tcBorders>
            <w:shd w:val="clear" w:color="auto" w:fill="auto"/>
            <w:vAlign w:val="center"/>
          </w:tcPr>
          <w:p>
            <w:pPr>
              <w:widowControl/>
              <w:jc w:val="center"/>
              <w:rPr>
                <w:rFonts w:ascii="仿宋_GB2312" w:hAnsi="宋体" w:eastAsia="仿宋_GB2312" w:cs="宋体"/>
                <w:kern w:val="0"/>
                <w:szCs w:val="21"/>
              </w:rPr>
            </w:pPr>
          </w:p>
        </w:tc>
      </w:tr>
      <w:tr>
        <w:tblPrEx>
          <w:tblLayout w:type="fixed"/>
          <w:tblCellMar>
            <w:top w:w="0" w:type="dxa"/>
            <w:left w:w="108" w:type="dxa"/>
            <w:bottom w:w="0" w:type="dxa"/>
            <w:right w:w="108" w:type="dxa"/>
          </w:tblCellMar>
        </w:tblPrEx>
        <w:trPr>
          <w:trHeight w:val="312" w:hRule="atLeast"/>
        </w:trPr>
        <w:tc>
          <w:tcPr>
            <w:tcW w:w="671"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序号</w:t>
            </w:r>
          </w:p>
        </w:tc>
        <w:tc>
          <w:tcPr>
            <w:tcW w:w="5212"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设备名称</w:t>
            </w:r>
          </w:p>
        </w:tc>
        <w:tc>
          <w:tcPr>
            <w:tcW w:w="129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规格</w:t>
            </w:r>
          </w:p>
        </w:tc>
        <w:tc>
          <w:tcPr>
            <w:tcW w:w="672"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单位</w:t>
            </w:r>
          </w:p>
        </w:tc>
        <w:tc>
          <w:tcPr>
            <w:tcW w:w="67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pPr>
              <w:widowControl/>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数量</w:t>
            </w:r>
            <w:bookmarkStart w:id="0" w:name="_GoBack"/>
            <w:bookmarkEnd w:id="0"/>
          </w:p>
        </w:tc>
      </w:tr>
      <w:tr>
        <w:tblPrEx>
          <w:tblLayout w:type="fixed"/>
          <w:tblCellMar>
            <w:top w:w="0" w:type="dxa"/>
            <w:left w:w="108" w:type="dxa"/>
            <w:bottom w:w="0" w:type="dxa"/>
            <w:right w:w="108" w:type="dxa"/>
          </w:tblCellMar>
        </w:tblPrEx>
        <w:trPr>
          <w:trHeight w:val="312" w:hRule="atLeast"/>
        </w:trPr>
        <w:tc>
          <w:tcPr>
            <w:tcW w:w="671"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kern w:val="0"/>
                <w:sz w:val="18"/>
                <w:szCs w:val="18"/>
              </w:rPr>
            </w:pPr>
          </w:p>
        </w:tc>
        <w:tc>
          <w:tcPr>
            <w:tcW w:w="5212"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kern w:val="0"/>
                <w:sz w:val="18"/>
                <w:szCs w:val="18"/>
              </w:rPr>
            </w:pPr>
          </w:p>
        </w:tc>
        <w:tc>
          <w:tcPr>
            <w:tcW w:w="129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kern w:val="0"/>
                <w:sz w:val="18"/>
                <w:szCs w:val="18"/>
              </w:rPr>
            </w:pPr>
          </w:p>
        </w:tc>
        <w:tc>
          <w:tcPr>
            <w:tcW w:w="67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kern w:val="0"/>
                <w:sz w:val="18"/>
                <w:szCs w:val="18"/>
              </w:rPr>
            </w:pPr>
          </w:p>
        </w:tc>
        <w:tc>
          <w:tcPr>
            <w:tcW w:w="670" w:type="dxa"/>
            <w:vMerge w:val="continue"/>
            <w:tcBorders>
              <w:top w:val="single" w:color="auto" w:sz="4" w:space="0"/>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kern w:val="0"/>
                <w:sz w:val="18"/>
                <w:szCs w:val="18"/>
              </w:rPr>
            </w:pPr>
          </w:p>
        </w:tc>
      </w:tr>
      <w:tr>
        <w:tblPrEx>
          <w:tblLayout w:type="fixed"/>
          <w:tblCellMar>
            <w:top w:w="0" w:type="dxa"/>
            <w:left w:w="108" w:type="dxa"/>
            <w:bottom w:w="0" w:type="dxa"/>
            <w:right w:w="108" w:type="dxa"/>
          </w:tblCellMar>
        </w:tblPrEx>
        <w:trPr>
          <w:trHeight w:val="300" w:hRule="atLeast"/>
        </w:trPr>
        <w:tc>
          <w:tcPr>
            <w:tcW w:w="67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 xml:space="preserve">1 </w:t>
            </w:r>
          </w:p>
        </w:tc>
        <w:tc>
          <w:tcPr>
            <w:tcW w:w="5212"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PGZ铸铁闸门 QLC2.0t启闭机 钢排架</w:t>
            </w:r>
          </w:p>
        </w:tc>
        <w:tc>
          <w:tcPr>
            <w:tcW w:w="129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1.0×0.8</w:t>
            </w:r>
          </w:p>
        </w:tc>
        <w:tc>
          <w:tcPr>
            <w:tcW w:w="672"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启</w:t>
            </w:r>
          </w:p>
        </w:tc>
        <w:tc>
          <w:tcPr>
            <w:tcW w:w="67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 xml:space="preserve">2 </w:t>
            </w:r>
          </w:p>
        </w:tc>
      </w:tr>
      <w:tr>
        <w:tblPrEx>
          <w:tblLayout w:type="fixed"/>
          <w:tblCellMar>
            <w:top w:w="0" w:type="dxa"/>
            <w:left w:w="108" w:type="dxa"/>
            <w:bottom w:w="0" w:type="dxa"/>
            <w:right w:w="108" w:type="dxa"/>
          </w:tblCellMar>
        </w:tblPrEx>
        <w:trPr>
          <w:trHeight w:val="300" w:hRule="atLeast"/>
        </w:trPr>
        <w:tc>
          <w:tcPr>
            <w:tcW w:w="67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 xml:space="preserve">2 </w:t>
            </w:r>
          </w:p>
        </w:tc>
        <w:tc>
          <w:tcPr>
            <w:tcW w:w="5212"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PGZ铸铁闸门 QLC2.0t启闭机 钢排架</w:t>
            </w:r>
          </w:p>
        </w:tc>
        <w:tc>
          <w:tcPr>
            <w:tcW w:w="129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0.8×1.0</w:t>
            </w:r>
          </w:p>
        </w:tc>
        <w:tc>
          <w:tcPr>
            <w:tcW w:w="672"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启</w:t>
            </w:r>
          </w:p>
        </w:tc>
        <w:tc>
          <w:tcPr>
            <w:tcW w:w="67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 xml:space="preserve">1 </w:t>
            </w:r>
          </w:p>
        </w:tc>
      </w:tr>
      <w:tr>
        <w:tblPrEx>
          <w:tblLayout w:type="fixed"/>
          <w:tblCellMar>
            <w:top w:w="0" w:type="dxa"/>
            <w:left w:w="108" w:type="dxa"/>
            <w:bottom w:w="0" w:type="dxa"/>
            <w:right w:w="108" w:type="dxa"/>
          </w:tblCellMar>
        </w:tblPrEx>
        <w:trPr>
          <w:trHeight w:val="300" w:hRule="atLeast"/>
        </w:trPr>
        <w:tc>
          <w:tcPr>
            <w:tcW w:w="67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 xml:space="preserve">3 </w:t>
            </w:r>
          </w:p>
        </w:tc>
        <w:tc>
          <w:tcPr>
            <w:tcW w:w="5212"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PGZ铸铁闸门 QLC1.0t启闭机 钢排架</w:t>
            </w:r>
          </w:p>
        </w:tc>
        <w:tc>
          <w:tcPr>
            <w:tcW w:w="129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0.8×0.8</w:t>
            </w:r>
          </w:p>
        </w:tc>
        <w:tc>
          <w:tcPr>
            <w:tcW w:w="672"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启</w:t>
            </w:r>
          </w:p>
        </w:tc>
        <w:tc>
          <w:tcPr>
            <w:tcW w:w="67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 xml:space="preserve">5 </w:t>
            </w:r>
          </w:p>
        </w:tc>
      </w:tr>
      <w:tr>
        <w:tblPrEx>
          <w:tblLayout w:type="fixed"/>
          <w:tblCellMar>
            <w:top w:w="0" w:type="dxa"/>
            <w:left w:w="108" w:type="dxa"/>
            <w:bottom w:w="0" w:type="dxa"/>
            <w:right w:w="108" w:type="dxa"/>
          </w:tblCellMar>
        </w:tblPrEx>
        <w:trPr>
          <w:trHeight w:val="300" w:hRule="atLeast"/>
        </w:trPr>
        <w:tc>
          <w:tcPr>
            <w:tcW w:w="67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 xml:space="preserve">4 </w:t>
            </w:r>
          </w:p>
        </w:tc>
        <w:tc>
          <w:tcPr>
            <w:tcW w:w="5212"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PGZ铸铁闸门 QLC0.5t启闭机 钢排架</w:t>
            </w:r>
          </w:p>
        </w:tc>
        <w:tc>
          <w:tcPr>
            <w:tcW w:w="129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0.4×0.8</w:t>
            </w:r>
          </w:p>
        </w:tc>
        <w:tc>
          <w:tcPr>
            <w:tcW w:w="672"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启</w:t>
            </w:r>
          </w:p>
        </w:tc>
        <w:tc>
          <w:tcPr>
            <w:tcW w:w="67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 xml:space="preserve">47 </w:t>
            </w:r>
          </w:p>
        </w:tc>
      </w:tr>
      <w:tr>
        <w:tblPrEx>
          <w:tblLayout w:type="fixed"/>
          <w:tblCellMar>
            <w:top w:w="0" w:type="dxa"/>
            <w:left w:w="108" w:type="dxa"/>
            <w:bottom w:w="0" w:type="dxa"/>
            <w:right w:w="108" w:type="dxa"/>
          </w:tblCellMar>
        </w:tblPrEx>
        <w:trPr>
          <w:trHeight w:val="300" w:hRule="atLeast"/>
        </w:trPr>
        <w:tc>
          <w:tcPr>
            <w:tcW w:w="7852" w:type="dxa"/>
            <w:gridSpan w:val="4"/>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合计</w:t>
            </w:r>
          </w:p>
        </w:tc>
        <w:tc>
          <w:tcPr>
            <w:tcW w:w="67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 xml:space="preserve">55 </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AD5D7E"/>
    <w:rsid w:val="00AD5D7E"/>
    <w:rsid w:val="04D528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unhideWhenUsed/>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uiPriority w:val="99"/>
    <w:pPr>
      <w:pBdr>
        <w:bottom w:val="single" w:color="auto" w:sz="6" w:space="1"/>
      </w:pBdr>
      <w:tabs>
        <w:tab w:val="center" w:pos="4153"/>
        <w:tab w:val="right" w:pos="8306"/>
      </w:tabs>
      <w:snapToGrid w:val="0"/>
      <w:jc w:val="center"/>
    </w:pPr>
    <w:rPr>
      <w:sz w:val="18"/>
      <w:szCs w:val="18"/>
    </w:rPr>
  </w:style>
  <w:style w:type="character" w:styleId="5">
    <w:name w:val="FollowedHyperlink"/>
    <w:basedOn w:val="4"/>
    <w:unhideWhenUsed/>
    <w:qFormat/>
    <w:uiPriority w:val="99"/>
    <w:rPr>
      <w:color w:val="800080"/>
      <w:u w:val="single"/>
    </w:rPr>
  </w:style>
  <w:style w:type="character" w:styleId="6">
    <w:name w:val="Hyperlink"/>
    <w:basedOn w:val="4"/>
    <w:unhideWhenUsed/>
    <w:uiPriority w:val="99"/>
    <w:rPr>
      <w:color w:val="0000FF"/>
      <w:u w:val="single"/>
    </w:rPr>
  </w:style>
  <w:style w:type="character" w:customStyle="1" w:styleId="8">
    <w:name w:val="页眉 Char"/>
    <w:basedOn w:val="4"/>
    <w:link w:val="3"/>
    <w:semiHidden/>
    <w:uiPriority w:val="99"/>
    <w:rPr>
      <w:sz w:val="18"/>
      <w:szCs w:val="18"/>
    </w:rPr>
  </w:style>
  <w:style w:type="character" w:customStyle="1" w:styleId="9">
    <w:name w:val="页脚 Char"/>
    <w:basedOn w:val="4"/>
    <w:link w:val="2"/>
    <w:semiHidden/>
    <w:uiPriority w:val="99"/>
    <w:rPr>
      <w:sz w:val="18"/>
      <w:szCs w:val="18"/>
    </w:rPr>
  </w:style>
  <w:style w:type="paragraph" w:customStyle="1" w:styleId="10">
    <w:name w:val="font5"/>
    <w:basedOn w:val="1"/>
    <w:qFormat/>
    <w:uiPriority w:val="0"/>
    <w:pPr>
      <w:widowControl/>
      <w:spacing w:before="100" w:beforeAutospacing="1" w:after="100" w:afterAutospacing="1"/>
      <w:jc w:val="left"/>
    </w:pPr>
    <w:rPr>
      <w:rFonts w:ascii="宋体" w:hAnsi="宋体" w:eastAsia="宋体" w:cs="宋体"/>
      <w:kern w:val="0"/>
      <w:sz w:val="18"/>
      <w:szCs w:val="18"/>
    </w:rPr>
  </w:style>
  <w:style w:type="paragraph" w:customStyle="1" w:styleId="11">
    <w:name w:val="font6"/>
    <w:basedOn w:val="1"/>
    <w:qFormat/>
    <w:uiPriority w:val="0"/>
    <w:pPr>
      <w:widowControl/>
      <w:spacing w:before="100" w:beforeAutospacing="1" w:after="100" w:afterAutospacing="1"/>
      <w:jc w:val="left"/>
    </w:pPr>
    <w:rPr>
      <w:rFonts w:ascii="宋体" w:hAnsi="宋体" w:eastAsia="宋体" w:cs="宋体"/>
      <w:kern w:val="0"/>
      <w:sz w:val="18"/>
      <w:szCs w:val="18"/>
    </w:rPr>
  </w:style>
  <w:style w:type="paragraph" w:customStyle="1" w:styleId="12">
    <w:name w:val="font7"/>
    <w:basedOn w:val="1"/>
    <w:qFormat/>
    <w:uiPriority w:val="0"/>
    <w:pPr>
      <w:widowControl/>
      <w:spacing w:before="100" w:beforeAutospacing="1" w:after="100" w:afterAutospacing="1"/>
      <w:jc w:val="left"/>
    </w:pPr>
    <w:rPr>
      <w:rFonts w:ascii="仿宋_GB2312" w:hAnsi="宋体" w:eastAsia="仿宋_GB2312" w:cs="宋体"/>
      <w:kern w:val="0"/>
      <w:sz w:val="18"/>
      <w:szCs w:val="18"/>
    </w:rPr>
  </w:style>
  <w:style w:type="paragraph" w:customStyle="1" w:styleId="13">
    <w:name w:val="font8"/>
    <w:basedOn w:val="1"/>
    <w:qFormat/>
    <w:uiPriority w:val="0"/>
    <w:pPr>
      <w:widowControl/>
      <w:spacing w:before="100" w:beforeAutospacing="1" w:after="100" w:afterAutospacing="1"/>
      <w:jc w:val="left"/>
    </w:pPr>
    <w:rPr>
      <w:rFonts w:ascii="仿宋_GB2312" w:hAnsi="宋体" w:eastAsia="仿宋_GB2312" w:cs="宋体"/>
      <w:b/>
      <w:bCs/>
      <w:kern w:val="0"/>
      <w:sz w:val="18"/>
      <w:szCs w:val="18"/>
    </w:rPr>
  </w:style>
  <w:style w:type="paragraph" w:customStyle="1" w:styleId="14">
    <w:name w:val="font9"/>
    <w:basedOn w:val="1"/>
    <w:uiPriority w:val="0"/>
    <w:pPr>
      <w:widowControl/>
      <w:spacing w:before="100" w:beforeAutospacing="1" w:after="100" w:afterAutospacing="1"/>
      <w:jc w:val="left"/>
    </w:pPr>
    <w:rPr>
      <w:rFonts w:ascii="仿宋_GB2312" w:hAnsi="宋体" w:eastAsia="仿宋_GB2312" w:cs="宋体"/>
      <w:kern w:val="0"/>
      <w:sz w:val="18"/>
      <w:szCs w:val="18"/>
    </w:rPr>
  </w:style>
  <w:style w:type="paragraph" w:customStyle="1" w:styleId="15">
    <w:name w:val="font10"/>
    <w:basedOn w:val="1"/>
    <w:qFormat/>
    <w:uiPriority w:val="0"/>
    <w:pPr>
      <w:widowControl/>
      <w:spacing w:before="100" w:beforeAutospacing="1" w:after="100" w:afterAutospacing="1"/>
      <w:jc w:val="left"/>
    </w:pPr>
    <w:rPr>
      <w:rFonts w:ascii="宋体" w:hAnsi="宋体" w:eastAsia="宋体" w:cs="宋体"/>
      <w:kern w:val="0"/>
      <w:sz w:val="18"/>
      <w:szCs w:val="18"/>
    </w:rPr>
  </w:style>
  <w:style w:type="paragraph" w:customStyle="1" w:styleId="16">
    <w:name w:val="xl81"/>
    <w:basedOn w:val="1"/>
    <w:qFormat/>
    <w:uiPriority w:val="0"/>
    <w:pPr>
      <w:widowControl/>
      <w:spacing w:before="100" w:beforeAutospacing="1" w:after="100" w:afterAutospacing="1"/>
      <w:jc w:val="center"/>
    </w:pPr>
    <w:rPr>
      <w:rFonts w:ascii="仿宋_GB2312" w:hAnsi="宋体" w:eastAsia="仿宋_GB2312" w:cs="宋体"/>
      <w:kern w:val="0"/>
      <w:sz w:val="18"/>
      <w:szCs w:val="18"/>
    </w:rPr>
  </w:style>
  <w:style w:type="paragraph" w:customStyle="1" w:styleId="17">
    <w:name w:val="xl82"/>
    <w:basedOn w:val="1"/>
    <w:qFormat/>
    <w:uiPriority w:val="0"/>
    <w:pPr>
      <w:widowControl/>
      <w:spacing w:before="100" w:beforeAutospacing="1" w:after="100" w:afterAutospacing="1"/>
      <w:jc w:val="center"/>
    </w:pPr>
    <w:rPr>
      <w:rFonts w:ascii="仿宋_GB2312" w:hAnsi="宋体" w:eastAsia="仿宋_GB2312" w:cs="宋体"/>
      <w:b/>
      <w:bCs/>
      <w:kern w:val="0"/>
      <w:sz w:val="18"/>
      <w:szCs w:val="18"/>
    </w:rPr>
  </w:style>
  <w:style w:type="paragraph" w:customStyle="1" w:styleId="18">
    <w:name w:val="xl8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_GB2312" w:hAnsi="宋体" w:eastAsia="仿宋_GB2312" w:cs="宋体"/>
      <w:kern w:val="0"/>
      <w:sz w:val="18"/>
      <w:szCs w:val="18"/>
    </w:rPr>
  </w:style>
  <w:style w:type="paragraph" w:customStyle="1" w:styleId="19">
    <w:name w:val="xl84"/>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_GB2312" w:hAnsi="宋体" w:eastAsia="仿宋_GB2312" w:cs="宋体"/>
      <w:b/>
      <w:bCs/>
      <w:kern w:val="0"/>
      <w:sz w:val="18"/>
      <w:szCs w:val="18"/>
    </w:rPr>
  </w:style>
  <w:style w:type="paragraph" w:customStyle="1" w:styleId="20">
    <w:name w:val="xl8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仿宋_GB2312" w:hAnsi="宋体" w:eastAsia="仿宋_GB2312" w:cs="宋体"/>
      <w:b/>
      <w:bCs/>
      <w:kern w:val="0"/>
      <w:sz w:val="18"/>
      <w:szCs w:val="18"/>
    </w:rPr>
  </w:style>
  <w:style w:type="paragraph" w:customStyle="1" w:styleId="21">
    <w:name w:val="xl8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仿宋_GB2312" w:hAnsi="宋体" w:eastAsia="仿宋_GB2312" w:cs="宋体"/>
      <w:b/>
      <w:bCs/>
      <w:kern w:val="0"/>
      <w:sz w:val="18"/>
      <w:szCs w:val="18"/>
    </w:rPr>
  </w:style>
  <w:style w:type="paragraph" w:customStyle="1" w:styleId="22">
    <w:name w:val="xl87"/>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仿宋_GB2312" w:hAnsi="宋体" w:eastAsia="仿宋_GB2312" w:cs="宋体"/>
      <w:kern w:val="0"/>
      <w:sz w:val="18"/>
      <w:szCs w:val="18"/>
    </w:rPr>
  </w:style>
  <w:style w:type="paragraph" w:customStyle="1" w:styleId="23">
    <w:name w:val="xl8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仿宋_GB2312" w:hAnsi="宋体" w:eastAsia="仿宋_GB2312" w:cs="宋体"/>
      <w:kern w:val="0"/>
      <w:sz w:val="18"/>
      <w:szCs w:val="18"/>
    </w:rPr>
  </w:style>
  <w:style w:type="paragraph" w:customStyle="1" w:styleId="24">
    <w:name w:val="xl8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仿宋_GB2312" w:hAnsi="宋体" w:eastAsia="仿宋_GB2312" w:cs="宋体"/>
      <w:b/>
      <w:bCs/>
      <w:kern w:val="0"/>
      <w:sz w:val="18"/>
      <w:szCs w:val="18"/>
    </w:rPr>
  </w:style>
  <w:style w:type="paragraph" w:customStyle="1" w:styleId="25">
    <w:name w:val="xl9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仿宋_GB2312" w:hAnsi="宋体" w:eastAsia="仿宋_GB2312" w:cs="宋体"/>
      <w:b/>
      <w:bCs/>
      <w:kern w:val="0"/>
      <w:sz w:val="18"/>
      <w:szCs w:val="18"/>
    </w:rPr>
  </w:style>
  <w:style w:type="paragraph" w:customStyle="1" w:styleId="26">
    <w:name w:val="xl91"/>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_GB2312" w:hAnsi="宋体" w:eastAsia="仿宋_GB2312" w:cs="宋体"/>
      <w:b/>
      <w:bCs/>
      <w:kern w:val="0"/>
      <w:sz w:val="18"/>
      <w:szCs w:val="18"/>
    </w:rPr>
  </w:style>
  <w:style w:type="paragraph" w:customStyle="1" w:styleId="27">
    <w:name w:val="xl9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仿宋_GB2312" w:hAnsi="宋体" w:eastAsia="仿宋_GB2312" w:cs="宋体"/>
      <w:b/>
      <w:bCs/>
      <w:kern w:val="0"/>
      <w:sz w:val="18"/>
      <w:szCs w:val="18"/>
    </w:rPr>
  </w:style>
  <w:style w:type="paragraph" w:customStyle="1" w:styleId="28">
    <w:name w:val="xl93"/>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仿宋_GB2312" w:hAnsi="宋体" w:eastAsia="仿宋_GB2312" w:cs="宋体"/>
      <w:kern w:val="0"/>
      <w:sz w:val="18"/>
      <w:szCs w:val="18"/>
    </w:rPr>
  </w:style>
  <w:style w:type="paragraph" w:customStyle="1" w:styleId="29">
    <w:name w:val="xl94"/>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仿宋_GB2312" w:hAnsi="宋体" w:eastAsia="仿宋_GB2312" w:cs="宋体"/>
      <w:kern w:val="0"/>
      <w:sz w:val="18"/>
      <w:szCs w:val="18"/>
    </w:rPr>
  </w:style>
  <w:style w:type="paragraph" w:customStyle="1" w:styleId="30">
    <w:name w:val="xl9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仿宋_GB2312" w:hAnsi="宋体" w:eastAsia="仿宋_GB2312" w:cs="宋体"/>
      <w:kern w:val="0"/>
      <w:sz w:val="18"/>
      <w:szCs w:val="18"/>
    </w:rPr>
  </w:style>
  <w:style w:type="paragraph" w:customStyle="1" w:styleId="31">
    <w:name w:val="xl9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仿宋_GB2312" w:hAnsi="宋体" w:eastAsia="仿宋_GB2312" w:cs="宋体"/>
      <w:b/>
      <w:bCs/>
      <w:kern w:val="0"/>
      <w:sz w:val="18"/>
      <w:szCs w:val="18"/>
    </w:rPr>
  </w:style>
  <w:style w:type="paragraph" w:customStyle="1" w:styleId="32">
    <w:name w:val="xl9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仿宋_GB2312" w:hAnsi="宋体" w:eastAsia="仿宋_GB2312" w:cs="宋体"/>
      <w:b/>
      <w:bCs/>
      <w:kern w:val="0"/>
      <w:sz w:val="18"/>
      <w:szCs w:val="18"/>
    </w:rPr>
  </w:style>
  <w:style w:type="paragraph" w:customStyle="1" w:styleId="33">
    <w:name w:val="xl9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仿宋_GB2312" w:hAnsi="宋体" w:eastAsia="仿宋_GB2312" w:cs="宋体"/>
      <w:b/>
      <w:bCs/>
      <w:kern w:val="0"/>
      <w:sz w:val="18"/>
      <w:szCs w:val="18"/>
    </w:rPr>
  </w:style>
  <w:style w:type="paragraph" w:customStyle="1" w:styleId="34">
    <w:name w:val="xl9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仿宋_GB2312" w:hAnsi="宋体" w:eastAsia="仿宋_GB2312" w:cs="宋体"/>
      <w:b/>
      <w:bCs/>
      <w:kern w:val="0"/>
      <w:sz w:val="18"/>
      <w:szCs w:val="18"/>
    </w:rPr>
  </w:style>
  <w:style w:type="paragraph" w:customStyle="1" w:styleId="35">
    <w:name w:val="xl100"/>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仿宋_GB2312" w:hAnsi="宋体" w:eastAsia="仿宋_GB2312" w:cs="宋体"/>
      <w:kern w:val="0"/>
      <w:sz w:val="18"/>
      <w:szCs w:val="18"/>
    </w:rPr>
  </w:style>
  <w:style w:type="paragraph" w:customStyle="1" w:styleId="36">
    <w:name w:val="xl10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仿宋_GB2312" w:hAnsi="宋体" w:eastAsia="仿宋_GB2312" w:cs="宋体"/>
      <w:kern w:val="0"/>
      <w:sz w:val="18"/>
      <w:szCs w:val="18"/>
    </w:rPr>
  </w:style>
  <w:style w:type="paragraph" w:customStyle="1" w:styleId="37">
    <w:name w:val="xl10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仿宋_GB2312" w:hAnsi="宋体" w:eastAsia="仿宋_GB2312" w:cs="宋体"/>
      <w:kern w:val="0"/>
      <w:sz w:val="18"/>
      <w:szCs w:val="18"/>
    </w:rPr>
  </w:style>
  <w:style w:type="paragraph" w:customStyle="1" w:styleId="38">
    <w:name w:val="xl103"/>
    <w:basedOn w:val="1"/>
    <w:qFormat/>
    <w:uiPriority w:val="0"/>
    <w:pPr>
      <w:widowControl/>
      <w:spacing w:before="100" w:beforeAutospacing="1" w:after="100" w:afterAutospacing="1"/>
      <w:jc w:val="left"/>
    </w:pPr>
    <w:rPr>
      <w:rFonts w:ascii="仿宋_GB2312" w:hAnsi="宋体" w:eastAsia="仿宋_GB2312" w:cs="宋体"/>
      <w:kern w:val="0"/>
      <w:sz w:val="18"/>
      <w:szCs w:val="18"/>
    </w:rPr>
  </w:style>
  <w:style w:type="paragraph" w:customStyle="1" w:styleId="39">
    <w:name w:val="xl104"/>
    <w:basedOn w:val="1"/>
    <w:qFormat/>
    <w:uiPriority w:val="0"/>
    <w:pPr>
      <w:widowControl/>
      <w:spacing w:before="100" w:beforeAutospacing="1" w:after="100" w:afterAutospacing="1"/>
      <w:jc w:val="left"/>
    </w:pPr>
    <w:rPr>
      <w:rFonts w:ascii="仿宋_GB2312" w:hAnsi="宋体" w:eastAsia="仿宋_GB2312" w:cs="宋体"/>
      <w:kern w:val="0"/>
      <w:sz w:val="18"/>
      <w:szCs w:val="18"/>
    </w:rPr>
  </w:style>
  <w:style w:type="paragraph" w:customStyle="1" w:styleId="40">
    <w:name w:val="xl105"/>
    <w:basedOn w:val="1"/>
    <w:uiPriority w:val="0"/>
    <w:pPr>
      <w:widowControl/>
      <w:spacing w:before="100" w:beforeAutospacing="1" w:after="100" w:afterAutospacing="1"/>
      <w:jc w:val="right"/>
    </w:pPr>
    <w:rPr>
      <w:rFonts w:ascii="仿宋_GB2312" w:hAnsi="宋体" w:eastAsia="仿宋_GB2312" w:cs="宋体"/>
      <w:kern w:val="0"/>
      <w:sz w:val="18"/>
      <w:szCs w:val="18"/>
    </w:rPr>
  </w:style>
  <w:style w:type="paragraph" w:customStyle="1" w:styleId="41">
    <w:name w:val="xl106"/>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_GB2312" w:hAnsi="宋体" w:eastAsia="仿宋_GB2312" w:cs="宋体"/>
      <w:b/>
      <w:bCs/>
      <w:kern w:val="0"/>
      <w:sz w:val="18"/>
      <w:szCs w:val="18"/>
    </w:rPr>
  </w:style>
  <w:style w:type="paragraph" w:customStyle="1" w:styleId="42">
    <w:name w:val="xl10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_GB2312" w:hAnsi="宋体" w:eastAsia="仿宋_GB2312" w:cs="宋体"/>
      <w:b/>
      <w:bCs/>
      <w:kern w:val="0"/>
      <w:sz w:val="18"/>
      <w:szCs w:val="18"/>
    </w:rPr>
  </w:style>
  <w:style w:type="paragraph" w:customStyle="1" w:styleId="43">
    <w:name w:val="xl108"/>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_GB2312" w:hAnsi="宋体" w:eastAsia="仿宋_GB2312" w:cs="宋体"/>
      <w:b/>
      <w:bCs/>
      <w:kern w:val="0"/>
      <w:sz w:val="18"/>
      <w:szCs w:val="18"/>
    </w:rPr>
  </w:style>
  <w:style w:type="paragraph" w:customStyle="1" w:styleId="44">
    <w:name w:val="xl109"/>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_GB2312" w:hAnsi="宋体" w:eastAsia="仿宋_GB2312" w:cs="宋体"/>
      <w:kern w:val="0"/>
      <w:sz w:val="18"/>
      <w:szCs w:val="18"/>
    </w:rPr>
  </w:style>
  <w:style w:type="paragraph" w:customStyle="1" w:styleId="45">
    <w:name w:val="xl110"/>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仿宋_GB2312" w:hAnsi="宋体" w:eastAsia="仿宋_GB2312" w:cs="宋体"/>
      <w:kern w:val="0"/>
      <w:sz w:val="18"/>
      <w:szCs w:val="18"/>
    </w:rPr>
  </w:style>
  <w:style w:type="paragraph" w:customStyle="1" w:styleId="46">
    <w:name w:val="xl111"/>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仿宋_GB2312" w:hAnsi="宋体" w:eastAsia="仿宋_GB2312" w:cs="宋体"/>
      <w:kern w:val="0"/>
      <w:sz w:val="18"/>
      <w:szCs w:val="18"/>
    </w:rPr>
  </w:style>
  <w:style w:type="paragraph" w:customStyle="1" w:styleId="47">
    <w:name w:val="xl112"/>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_GB2312" w:hAnsi="宋体" w:eastAsia="仿宋_GB2312" w:cs="宋体"/>
      <w:b/>
      <w:bCs/>
      <w:kern w:val="0"/>
      <w:sz w:val="18"/>
      <w:szCs w:val="18"/>
    </w:rPr>
  </w:style>
  <w:style w:type="paragraph" w:customStyle="1" w:styleId="48">
    <w:name w:val="xl113"/>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_GB2312" w:hAnsi="宋体" w:eastAsia="仿宋_GB2312" w:cs="宋体"/>
      <w:kern w:val="0"/>
      <w:sz w:val="18"/>
      <w:szCs w:val="18"/>
    </w:rPr>
  </w:style>
  <w:style w:type="paragraph" w:customStyle="1" w:styleId="49">
    <w:name w:val="xl114"/>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仿宋_GB2312" w:hAnsi="宋体" w:eastAsia="仿宋_GB2312" w:cs="宋体"/>
      <w:kern w:val="0"/>
      <w:sz w:val="18"/>
      <w:szCs w:val="18"/>
    </w:rPr>
  </w:style>
  <w:style w:type="paragraph" w:customStyle="1" w:styleId="50">
    <w:name w:val="xl115"/>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仿宋_GB2312" w:hAnsi="宋体" w:eastAsia="仿宋_GB2312" w:cs="宋体"/>
      <w:kern w:val="0"/>
      <w:sz w:val="18"/>
      <w:szCs w:val="18"/>
    </w:rPr>
  </w:style>
  <w:style w:type="paragraph" w:customStyle="1" w:styleId="51">
    <w:name w:val="xl116"/>
    <w:basedOn w:val="1"/>
    <w:uiPriority w:val="0"/>
    <w:pPr>
      <w:widowControl/>
      <w:pBdr>
        <w:top w:val="single" w:color="auto" w:sz="4" w:space="0"/>
        <w:left w:val="single" w:color="auto" w:sz="4" w:space="0"/>
        <w:bottom w:val="single" w:color="auto" w:sz="4" w:space="0"/>
        <w:right w:val="single" w:color="auto" w:sz="4" w:space="0"/>
      </w:pBdr>
      <w:shd w:val="clear" w:color="000000" w:fill="DBE5F1"/>
      <w:spacing w:before="100" w:beforeAutospacing="1" w:after="100" w:afterAutospacing="1"/>
      <w:jc w:val="left"/>
    </w:pPr>
    <w:rPr>
      <w:rFonts w:ascii="仿宋_GB2312" w:hAnsi="宋体" w:eastAsia="仿宋_GB2312" w:cs="宋体"/>
      <w:b/>
      <w:bCs/>
      <w:kern w:val="0"/>
      <w:sz w:val="18"/>
      <w:szCs w:val="18"/>
    </w:rPr>
  </w:style>
  <w:style w:type="paragraph" w:customStyle="1" w:styleId="52">
    <w:name w:val="xl117"/>
    <w:basedOn w:val="1"/>
    <w:qFormat/>
    <w:uiPriority w:val="0"/>
    <w:pPr>
      <w:widowControl/>
      <w:pBdr>
        <w:top w:val="single" w:color="auto" w:sz="4" w:space="0"/>
        <w:left w:val="single" w:color="auto" w:sz="4" w:space="0"/>
        <w:bottom w:val="single" w:color="auto" w:sz="4" w:space="0"/>
        <w:right w:val="single" w:color="auto" w:sz="4" w:space="0"/>
      </w:pBdr>
      <w:shd w:val="clear" w:color="000000" w:fill="DBE5F1"/>
      <w:spacing w:before="100" w:beforeAutospacing="1" w:after="100" w:afterAutospacing="1"/>
      <w:jc w:val="left"/>
    </w:pPr>
    <w:rPr>
      <w:rFonts w:ascii="仿宋_GB2312" w:hAnsi="宋体" w:eastAsia="仿宋_GB2312" w:cs="宋体"/>
      <w:b/>
      <w:bCs/>
      <w:kern w:val="0"/>
      <w:sz w:val="18"/>
      <w:szCs w:val="18"/>
    </w:rPr>
  </w:style>
  <w:style w:type="paragraph" w:customStyle="1" w:styleId="53">
    <w:name w:val="xl118"/>
    <w:basedOn w:val="1"/>
    <w:uiPriority w:val="0"/>
    <w:pPr>
      <w:widowControl/>
      <w:pBdr>
        <w:top w:val="single" w:color="auto" w:sz="4" w:space="0"/>
        <w:left w:val="single" w:color="auto" w:sz="4" w:space="0"/>
        <w:bottom w:val="single" w:color="auto" w:sz="4" w:space="0"/>
        <w:right w:val="single" w:color="auto" w:sz="4" w:space="0"/>
      </w:pBdr>
      <w:shd w:val="clear" w:color="000000" w:fill="F2DDDC"/>
      <w:spacing w:before="100" w:beforeAutospacing="1" w:after="100" w:afterAutospacing="1"/>
      <w:jc w:val="left"/>
    </w:pPr>
    <w:rPr>
      <w:rFonts w:ascii="仿宋_GB2312" w:hAnsi="宋体" w:eastAsia="仿宋_GB2312" w:cs="宋体"/>
      <w:b/>
      <w:bCs/>
      <w:kern w:val="0"/>
      <w:sz w:val="18"/>
      <w:szCs w:val="18"/>
    </w:rPr>
  </w:style>
  <w:style w:type="paragraph" w:customStyle="1" w:styleId="54">
    <w:name w:val="xl119"/>
    <w:basedOn w:val="1"/>
    <w:uiPriority w:val="0"/>
    <w:pPr>
      <w:widowControl/>
      <w:pBdr>
        <w:top w:val="single" w:color="auto" w:sz="4" w:space="0"/>
        <w:left w:val="single" w:color="auto" w:sz="4" w:space="0"/>
        <w:bottom w:val="single" w:color="auto" w:sz="4" w:space="0"/>
        <w:right w:val="single" w:color="auto" w:sz="4" w:space="0"/>
      </w:pBdr>
      <w:shd w:val="clear" w:color="000000" w:fill="F2DDDC"/>
      <w:spacing w:before="100" w:beforeAutospacing="1" w:after="100" w:afterAutospacing="1"/>
      <w:jc w:val="left"/>
    </w:pPr>
    <w:rPr>
      <w:rFonts w:ascii="仿宋_GB2312" w:hAnsi="宋体" w:eastAsia="仿宋_GB2312" w:cs="宋体"/>
      <w:b/>
      <w:bCs/>
      <w:kern w:val="0"/>
      <w:sz w:val="18"/>
      <w:szCs w:val="18"/>
    </w:rPr>
  </w:style>
  <w:style w:type="paragraph" w:customStyle="1" w:styleId="55">
    <w:name w:val="xl120"/>
    <w:basedOn w:val="1"/>
    <w:uiPriority w:val="0"/>
    <w:pPr>
      <w:widowControl/>
      <w:spacing w:before="100" w:beforeAutospacing="1" w:after="100" w:afterAutospacing="1"/>
      <w:jc w:val="center"/>
    </w:pPr>
    <w:rPr>
      <w:rFonts w:ascii="仿宋_GB2312" w:hAnsi="宋体" w:eastAsia="仿宋_GB2312" w:cs="宋体"/>
      <w:b/>
      <w:bCs/>
      <w:kern w:val="0"/>
      <w:sz w:val="24"/>
      <w:szCs w:val="24"/>
    </w:rPr>
  </w:style>
  <w:style w:type="paragraph" w:customStyle="1" w:styleId="56">
    <w:name w:val="xl121"/>
    <w:basedOn w:val="1"/>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仿宋_GB2312" w:hAnsi="宋体" w:eastAsia="仿宋_GB2312" w:cs="宋体"/>
      <w:kern w:val="0"/>
      <w:sz w:val="18"/>
      <w:szCs w:val="18"/>
    </w:rPr>
  </w:style>
  <w:style w:type="paragraph" w:customStyle="1" w:styleId="57">
    <w:name w:val="xl122"/>
    <w:basedOn w:val="1"/>
    <w:uiPriority w:val="0"/>
    <w:pPr>
      <w:widowControl/>
      <w:pBdr>
        <w:top w:val="single" w:color="auto" w:sz="4" w:space="0"/>
        <w:bottom w:val="single" w:color="auto" w:sz="4" w:space="0"/>
      </w:pBdr>
      <w:spacing w:before="100" w:beforeAutospacing="1" w:after="100" w:afterAutospacing="1"/>
      <w:jc w:val="center"/>
    </w:pPr>
    <w:rPr>
      <w:rFonts w:ascii="仿宋_GB2312" w:hAnsi="宋体" w:eastAsia="仿宋_GB2312" w:cs="宋体"/>
      <w:kern w:val="0"/>
      <w:sz w:val="18"/>
      <w:szCs w:val="18"/>
    </w:rPr>
  </w:style>
  <w:style w:type="paragraph" w:customStyle="1" w:styleId="58">
    <w:name w:val="xl123"/>
    <w:basedOn w:val="1"/>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仿宋_GB2312" w:hAnsi="宋体" w:eastAsia="仿宋_GB2312" w:cs="宋体"/>
      <w:kern w:val="0"/>
      <w:sz w:val="18"/>
      <w:szCs w:val="18"/>
    </w:rPr>
  </w:style>
  <w:style w:type="character" w:customStyle="1" w:styleId="59">
    <w:name w:val="font41"/>
    <w:basedOn w:val="4"/>
    <w:uiPriority w:val="0"/>
    <w:rPr>
      <w:rFonts w:hint="eastAsia" w:ascii="仿宋_GB2312" w:eastAsia="仿宋_GB2312" w:cs="仿宋_GB2312"/>
      <w:b/>
      <w:color w:val="000000"/>
      <w:sz w:val="18"/>
      <w:szCs w:val="18"/>
      <w:u w:val="none"/>
      <w:vertAlign w:val="superscript"/>
    </w:rPr>
  </w:style>
  <w:style w:type="character" w:customStyle="1" w:styleId="60">
    <w:name w:val="font31"/>
    <w:basedOn w:val="4"/>
    <w:uiPriority w:val="0"/>
    <w:rPr>
      <w:rFonts w:hint="eastAsia" w:ascii="仿宋_GB2312" w:eastAsia="仿宋_GB2312" w:cs="仿宋_GB2312"/>
      <w:color w:val="000000"/>
      <w:sz w:val="18"/>
      <w:szCs w:val="18"/>
      <w:u w:val="none"/>
      <w:vertAlign w:val="superscript"/>
    </w:rPr>
  </w:style>
  <w:style w:type="character" w:customStyle="1" w:styleId="61">
    <w:name w:val="font21"/>
    <w:basedOn w:val="4"/>
    <w:uiPriority w:val="0"/>
    <w:rPr>
      <w:rFonts w:hint="eastAsia" w:ascii="仿宋_GB2312" w:eastAsia="仿宋_GB2312" w:cs="仿宋_GB2312"/>
      <w:color w:val="000000"/>
      <w:sz w:val="18"/>
      <w:szCs w:val="18"/>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微软公司</Company>
  <Pages>11</Pages>
  <Words>1553</Words>
  <Characters>8855</Characters>
  <Lines>73</Lines>
  <Paragraphs>20</Paragraphs>
  <TotalTime>0</TotalTime>
  <ScaleCrop>false</ScaleCrop>
  <LinksUpToDate>false</LinksUpToDate>
  <CharactersWithSpaces>10388</CharactersWithSpaces>
  <Application>WPS Office_10.1.0.6877_F1E327BC-269C-435d-A152-05C5408002CA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2013-08-24T03:05:00Z</dcterms:created>
  <dc:creator>微软用户</dc:creator>
  <cp:lastModifiedBy>Administrator</cp:lastModifiedBy>
  <dcterms:modified xsi:type="dcterms:W3CDTF">2017-11-25T14:17:01Z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2052-10.1.0.6877</vt:lpwstr>
  </property>
</Properties>
</file>